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488A6" w14:textId="77777777" w:rsidR="00947636" w:rsidRDefault="00947636" w:rsidP="00947636">
      <w:pPr>
        <w:spacing w:after="0" w:line="276" w:lineRule="auto"/>
        <w:contextualSpacing/>
        <w:jc w:val="center"/>
        <w:rPr>
          <w:rFonts w:ascii="Segoe UI" w:eastAsia="Times New Roman" w:hAnsi="Segoe UI" w:cs="Segoe UI"/>
          <w:b/>
          <w:bCs/>
          <w:color w:val="7F7F7F"/>
          <w:u w:val="single"/>
          <w:lang w:eastAsia="it-IT"/>
        </w:rPr>
      </w:pPr>
    </w:p>
    <w:p w14:paraId="1E54E77A" w14:textId="77777777" w:rsidR="00A74A12" w:rsidRDefault="000F2C4F" w:rsidP="00A74A12">
      <w:pPr>
        <w:spacing w:after="120" w:line="240" w:lineRule="auto"/>
        <w:rPr>
          <w:rFonts w:ascii="Times New Roman" w:hAnsi="Times New Roman" w:cs="Times New Roman"/>
          <w:b/>
          <w:bCs/>
          <w:iCs/>
        </w:rPr>
      </w:pPr>
      <w:r w:rsidRPr="000F2C4F">
        <w:rPr>
          <w:rFonts w:ascii="Times New Roman" w:hAnsi="Times New Roman" w:cs="Times New Roman"/>
          <w:b/>
          <w:bCs/>
          <w:iCs/>
        </w:rPr>
        <w:t xml:space="preserve">Allegato C </w:t>
      </w:r>
    </w:p>
    <w:p w14:paraId="3B15F3FC" w14:textId="77777777" w:rsidR="00A74A12" w:rsidRDefault="00A74A12" w:rsidP="000F2C4F">
      <w:pPr>
        <w:spacing w:after="12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0E91C760" w14:textId="67336E28" w:rsidR="000F2C4F" w:rsidRDefault="000F2C4F" w:rsidP="000F2C4F">
      <w:pPr>
        <w:spacing w:after="12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0F2C4F">
        <w:rPr>
          <w:rFonts w:ascii="Times New Roman" w:hAnsi="Times New Roman" w:cs="Times New Roman"/>
          <w:b/>
          <w:bCs/>
          <w:iCs/>
        </w:rPr>
        <w:t xml:space="preserve">Disciplinare di </w:t>
      </w:r>
      <w:r w:rsidR="00D17D3E">
        <w:rPr>
          <w:rFonts w:ascii="Times New Roman" w:hAnsi="Times New Roman" w:cs="Times New Roman"/>
          <w:b/>
          <w:bCs/>
          <w:iCs/>
        </w:rPr>
        <w:t xml:space="preserve">attivazione del progetto di </w:t>
      </w:r>
      <w:r w:rsidRPr="000F2C4F">
        <w:rPr>
          <w:rFonts w:ascii="Times New Roman" w:hAnsi="Times New Roman" w:cs="Times New Roman"/>
          <w:b/>
          <w:bCs/>
          <w:iCs/>
        </w:rPr>
        <w:t>utilizzo</w:t>
      </w:r>
    </w:p>
    <w:p w14:paraId="58CD1765" w14:textId="77777777" w:rsidR="00B046FC" w:rsidRDefault="00B046FC" w:rsidP="000F2C4F">
      <w:pPr>
        <w:spacing w:after="12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245140C7" w14:textId="2CDD31CB" w:rsidR="00AB1C3F" w:rsidRDefault="00AB1C3F" w:rsidP="00AB1C3F">
      <w:pPr>
        <w:spacing w:after="120" w:line="240" w:lineRule="auto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Art. 1 – Requisiti soggettivi di </w:t>
      </w:r>
      <w:r w:rsidR="00D17D3E">
        <w:rPr>
          <w:rFonts w:ascii="Times New Roman" w:hAnsi="Times New Roman" w:cs="Times New Roman"/>
          <w:b/>
          <w:bCs/>
          <w:iCs/>
        </w:rPr>
        <w:t>proposta del progetto di utilizzo</w:t>
      </w:r>
    </w:p>
    <w:p w14:paraId="58368BC4" w14:textId="3D859214" w:rsidR="00D17D3E" w:rsidRDefault="00AB1C3F" w:rsidP="00AB1C3F">
      <w:pPr>
        <w:spacing w:after="120" w:line="240" w:lineRule="auto"/>
        <w:jc w:val="both"/>
        <w:rPr>
          <w:rFonts w:ascii="Times New Roman" w:hAnsi="Times New Roman" w:cs="Times New Roman"/>
          <w:iCs/>
        </w:rPr>
      </w:pPr>
      <w:r w:rsidRPr="00AB1C3F">
        <w:rPr>
          <w:rFonts w:ascii="Times New Roman" w:hAnsi="Times New Roman" w:cs="Times New Roman"/>
          <w:iCs/>
        </w:rPr>
        <w:t>1. Ai fini dell’</w:t>
      </w:r>
      <w:r>
        <w:rPr>
          <w:rFonts w:ascii="Times New Roman" w:hAnsi="Times New Roman" w:cs="Times New Roman"/>
          <w:iCs/>
        </w:rPr>
        <w:t xml:space="preserve">attuazione </w:t>
      </w:r>
      <w:r w:rsidRPr="00AB1C3F">
        <w:rPr>
          <w:rFonts w:ascii="Times New Roman" w:hAnsi="Times New Roman" w:cs="Times New Roman"/>
          <w:iCs/>
        </w:rPr>
        <w:t>degli interventi di cui all’articolo 1 dell</w:t>
      </w:r>
      <w:r>
        <w:rPr>
          <w:rFonts w:ascii="Times New Roman" w:hAnsi="Times New Roman" w:cs="Times New Roman"/>
          <w:iCs/>
        </w:rPr>
        <w:t>’</w:t>
      </w:r>
      <w:r w:rsidRPr="00AB1C3F">
        <w:rPr>
          <w:rFonts w:ascii="Times New Roman" w:hAnsi="Times New Roman" w:cs="Times New Roman"/>
          <w:iCs/>
        </w:rPr>
        <w:t>ordinanza</w:t>
      </w:r>
      <w:r>
        <w:rPr>
          <w:rFonts w:ascii="Times New Roman" w:hAnsi="Times New Roman" w:cs="Times New Roman"/>
          <w:iCs/>
        </w:rPr>
        <w:t xml:space="preserve"> n. 17 del 14 aprile 2022 e </w:t>
      </w:r>
      <w:r w:rsidRPr="0055325F">
        <w:rPr>
          <w:rFonts w:ascii="Times New Roman" w:hAnsi="Times New Roman" w:cs="Times New Roman"/>
          <w:i/>
        </w:rPr>
        <w:t>ss.mm.</w:t>
      </w:r>
      <w:r>
        <w:rPr>
          <w:rFonts w:ascii="Times New Roman" w:hAnsi="Times New Roman" w:cs="Times New Roman"/>
          <w:iCs/>
        </w:rPr>
        <w:t xml:space="preserve"> e </w:t>
      </w:r>
      <w:r w:rsidRPr="0055325F">
        <w:rPr>
          <w:rFonts w:ascii="Times New Roman" w:hAnsi="Times New Roman" w:cs="Times New Roman"/>
          <w:i/>
        </w:rPr>
        <w:t>ii.</w:t>
      </w:r>
      <w:r w:rsidRPr="00AB1C3F">
        <w:rPr>
          <w:rFonts w:ascii="Times New Roman" w:hAnsi="Times New Roman" w:cs="Times New Roman"/>
          <w:iCs/>
        </w:rPr>
        <w:t>, i</w:t>
      </w:r>
      <w:r w:rsidR="00D17D3E">
        <w:rPr>
          <w:rFonts w:ascii="Times New Roman" w:hAnsi="Times New Roman" w:cs="Times New Roman"/>
          <w:iCs/>
        </w:rPr>
        <w:t xml:space="preserve"> </w:t>
      </w:r>
      <w:r w:rsidRPr="00AB1C3F">
        <w:rPr>
          <w:rFonts w:ascii="Times New Roman" w:hAnsi="Times New Roman" w:cs="Times New Roman"/>
          <w:iCs/>
        </w:rPr>
        <w:t>Responsabili degli stessi possono</w:t>
      </w:r>
      <w:r w:rsidR="00D17D3E">
        <w:rPr>
          <w:rFonts w:ascii="Times New Roman" w:hAnsi="Times New Roman" w:cs="Times New Roman"/>
          <w:iCs/>
        </w:rPr>
        <w:t xml:space="preserve"> formulare la richiesta di utilizzo</w:t>
      </w:r>
      <w:r w:rsidRPr="00AB1C3F">
        <w:rPr>
          <w:rFonts w:ascii="Times New Roman" w:hAnsi="Times New Roman" w:cs="Times New Roman"/>
          <w:iCs/>
        </w:rPr>
        <w:t xml:space="preserve"> </w:t>
      </w:r>
      <w:r w:rsidR="00D17D3E">
        <w:rPr>
          <w:rFonts w:ascii="Times New Roman" w:hAnsi="Times New Roman" w:cs="Times New Roman"/>
          <w:iCs/>
        </w:rPr>
        <w:t xml:space="preserve">di </w:t>
      </w:r>
      <w:r w:rsidRPr="00AB1C3F">
        <w:rPr>
          <w:rFonts w:ascii="Times New Roman" w:hAnsi="Times New Roman" w:cs="Times New Roman"/>
          <w:iCs/>
        </w:rPr>
        <w:t xml:space="preserve">professionisti esterni </w:t>
      </w:r>
      <w:r w:rsidR="00D17D3E">
        <w:rPr>
          <w:rFonts w:ascii="Times New Roman" w:hAnsi="Times New Roman" w:cs="Times New Roman"/>
          <w:iCs/>
        </w:rPr>
        <w:t xml:space="preserve">inseriti nella </w:t>
      </w:r>
      <w:r w:rsidR="00D17D3E" w:rsidRPr="0055325F">
        <w:rPr>
          <w:rFonts w:ascii="Times New Roman" w:hAnsi="Times New Roman" w:cs="Times New Roman"/>
          <w:b/>
          <w:bCs/>
          <w:iCs/>
        </w:rPr>
        <w:t>short-list</w:t>
      </w:r>
      <w:r w:rsidR="00D17D3E">
        <w:rPr>
          <w:rFonts w:ascii="Times New Roman" w:hAnsi="Times New Roman" w:cs="Times New Roman"/>
          <w:iCs/>
        </w:rPr>
        <w:t xml:space="preserve"> (</w:t>
      </w:r>
      <w:r w:rsidR="00D17D3E" w:rsidRPr="0055325F">
        <w:rPr>
          <w:rFonts w:ascii="Times New Roman" w:hAnsi="Times New Roman" w:cs="Times New Roman"/>
          <w:b/>
          <w:bCs/>
          <w:iCs/>
        </w:rPr>
        <w:t>Allegato A</w:t>
      </w:r>
      <w:r w:rsidR="00D17D3E">
        <w:rPr>
          <w:rFonts w:ascii="Times New Roman" w:hAnsi="Times New Roman" w:cs="Times New Roman"/>
          <w:iCs/>
        </w:rPr>
        <w:t>), mediante compilazione e trasmissione a mezzo PEC del modello di attivazione del progetto di utilizzo (</w:t>
      </w:r>
      <w:r w:rsidR="00D17D3E" w:rsidRPr="0055325F">
        <w:rPr>
          <w:rFonts w:ascii="Times New Roman" w:hAnsi="Times New Roman" w:cs="Times New Roman"/>
          <w:b/>
          <w:bCs/>
          <w:iCs/>
        </w:rPr>
        <w:t>Allegato D</w:t>
      </w:r>
      <w:r w:rsidR="00D17D3E">
        <w:rPr>
          <w:rFonts w:ascii="Times New Roman" w:hAnsi="Times New Roman" w:cs="Times New Roman"/>
          <w:iCs/>
        </w:rPr>
        <w:t>).</w:t>
      </w:r>
    </w:p>
    <w:p w14:paraId="1C4586C4" w14:textId="77777777" w:rsidR="00B046FC" w:rsidRDefault="00B046FC" w:rsidP="00AB1C3F">
      <w:pPr>
        <w:spacing w:after="120" w:line="240" w:lineRule="auto"/>
        <w:jc w:val="both"/>
        <w:rPr>
          <w:rFonts w:ascii="Times New Roman" w:hAnsi="Times New Roman" w:cs="Times New Roman"/>
          <w:iCs/>
        </w:rPr>
      </w:pPr>
    </w:p>
    <w:p w14:paraId="5047E5C4" w14:textId="77777777" w:rsidR="00EC4F4B" w:rsidRDefault="00EC4F4B" w:rsidP="00AB1C3F">
      <w:pPr>
        <w:spacing w:after="120" w:line="240" w:lineRule="auto"/>
        <w:jc w:val="both"/>
        <w:rPr>
          <w:rFonts w:ascii="Times New Roman" w:hAnsi="Times New Roman" w:cs="Times New Roman"/>
          <w:iCs/>
        </w:rPr>
      </w:pPr>
    </w:p>
    <w:p w14:paraId="67F50B3B" w14:textId="7D538D44" w:rsidR="00B046FC" w:rsidRPr="00DE39BB" w:rsidRDefault="00B046FC" w:rsidP="00B046FC">
      <w:pPr>
        <w:spacing w:after="12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DE39BB">
        <w:rPr>
          <w:rFonts w:ascii="Times New Roman" w:hAnsi="Times New Roman" w:cs="Times New Roman"/>
          <w:b/>
          <w:bCs/>
          <w:iCs/>
        </w:rPr>
        <w:t xml:space="preserve">Art. </w:t>
      </w:r>
      <w:r w:rsidR="006256EE">
        <w:rPr>
          <w:rFonts w:ascii="Times New Roman" w:hAnsi="Times New Roman" w:cs="Times New Roman"/>
          <w:b/>
          <w:bCs/>
          <w:iCs/>
        </w:rPr>
        <w:t>2</w:t>
      </w:r>
      <w:r w:rsidRPr="00DE39BB">
        <w:rPr>
          <w:rFonts w:ascii="Times New Roman" w:hAnsi="Times New Roman" w:cs="Times New Roman"/>
          <w:b/>
          <w:bCs/>
          <w:iCs/>
        </w:rPr>
        <w:t xml:space="preserve"> – Modalità di utilizzo delle professionalità</w:t>
      </w:r>
    </w:p>
    <w:p w14:paraId="40937409" w14:textId="06A991BF" w:rsidR="00D17D3E" w:rsidRDefault="00B046FC" w:rsidP="00AB1C3F">
      <w:pPr>
        <w:spacing w:after="12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3</w:t>
      </w:r>
      <w:r w:rsidR="00D17D3E">
        <w:rPr>
          <w:rFonts w:ascii="Times New Roman" w:hAnsi="Times New Roman" w:cs="Times New Roman"/>
          <w:iCs/>
        </w:rPr>
        <w:t xml:space="preserve">. L’utilizzo delle </w:t>
      </w:r>
      <w:proofErr w:type="gramStart"/>
      <w:r w:rsidR="00D17D3E">
        <w:rPr>
          <w:rFonts w:ascii="Times New Roman" w:hAnsi="Times New Roman" w:cs="Times New Roman"/>
          <w:iCs/>
        </w:rPr>
        <w:t>predette</w:t>
      </w:r>
      <w:proofErr w:type="gramEnd"/>
      <w:r w:rsidR="00D17D3E">
        <w:rPr>
          <w:rFonts w:ascii="Times New Roman" w:hAnsi="Times New Roman" w:cs="Times New Roman"/>
          <w:iCs/>
        </w:rPr>
        <w:t xml:space="preserve"> professionalità potrà avere luogo con le seguenti modalità:</w:t>
      </w:r>
    </w:p>
    <w:p w14:paraId="01B92687" w14:textId="7EAC299E" w:rsidR="00AB1C3F" w:rsidRDefault="00B046FC" w:rsidP="00AB1C3F">
      <w:pPr>
        <w:spacing w:after="12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3.1 </w:t>
      </w:r>
      <w:r w:rsidR="00DE39BB" w:rsidRPr="00EC4F4B">
        <w:rPr>
          <w:rFonts w:ascii="Times New Roman" w:hAnsi="Times New Roman" w:cs="Times New Roman"/>
          <w:i/>
          <w:u w:val="single"/>
        </w:rPr>
        <w:t>C</w:t>
      </w:r>
      <w:r w:rsidR="00AB1C3F" w:rsidRPr="00EC4F4B">
        <w:rPr>
          <w:rFonts w:ascii="Times New Roman" w:hAnsi="Times New Roman" w:cs="Times New Roman"/>
          <w:i/>
          <w:u w:val="single"/>
        </w:rPr>
        <w:t>ontratti di</w:t>
      </w:r>
      <w:r w:rsidRPr="00EC4F4B">
        <w:rPr>
          <w:rFonts w:ascii="Times New Roman" w:hAnsi="Times New Roman" w:cs="Times New Roman"/>
          <w:i/>
          <w:u w:val="single"/>
        </w:rPr>
        <w:t xml:space="preserve"> </w:t>
      </w:r>
      <w:r w:rsidR="00AB1C3F" w:rsidRPr="00EC4F4B">
        <w:rPr>
          <w:rFonts w:ascii="Times New Roman" w:hAnsi="Times New Roman" w:cs="Times New Roman"/>
          <w:i/>
          <w:u w:val="single"/>
        </w:rPr>
        <w:t xml:space="preserve">lavoro autonomo ex art. 2222 cod. civ. </w:t>
      </w:r>
      <w:r w:rsidRPr="00EC4F4B">
        <w:rPr>
          <w:rFonts w:ascii="Times New Roman" w:hAnsi="Times New Roman" w:cs="Times New Roman"/>
          <w:i/>
          <w:u w:val="single"/>
        </w:rPr>
        <w:t>stipulati direttamente dal Responsabile di intervento</w:t>
      </w:r>
      <w:r>
        <w:rPr>
          <w:rFonts w:ascii="Times New Roman" w:hAnsi="Times New Roman" w:cs="Times New Roman"/>
          <w:iCs/>
        </w:rPr>
        <w:t xml:space="preserve"> previa valutazione comparativa a cura dell’USRC o </w:t>
      </w:r>
      <w:r w:rsidR="00AB1C3F" w:rsidRPr="00AB1C3F">
        <w:rPr>
          <w:rFonts w:ascii="Times New Roman" w:hAnsi="Times New Roman" w:cs="Times New Roman"/>
          <w:iCs/>
        </w:rPr>
        <w:t>con</w:t>
      </w:r>
      <w:r w:rsidR="00DE39BB">
        <w:rPr>
          <w:rFonts w:ascii="Times New Roman" w:hAnsi="Times New Roman" w:cs="Times New Roman"/>
          <w:iCs/>
        </w:rPr>
        <w:t xml:space="preserve"> </w:t>
      </w:r>
      <w:r w:rsidR="00AB1C3F" w:rsidRPr="00AB1C3F">
        <w:rPr>
          <w:rFonts w:ascii="Times New Roman" w:hAnsi="Times New Roman" w:cs="Times New Roman"/>
          <w:iCs/>
        </w:rPr>
        <w:t xml:space="preserve">affidamento diretto ai sensi dell’articolo 1, comma 2, del </w:t>
      </w:r>
      <w:proofErr w:type="gramStart"/>
      <w:r w:rsidR="00AB1C3F" w:rsidRPr="00AB1C3F">
        <w:rPr>
          <w:rFonts w:ascii="Times New Roman" w:hAnsi="Times New Roman" w:cs="Times New Roman"/>
          <w:iCs/>
        </w:rPr>
        <w:t>decreto legge</w:t>
      </w:r>
      <w:proofErr w:type="gramEnd"/>
      <w:r w:rsidR="00AB1C3F" w:rsidRPr="00AB1C3F">
        <w:rPr>
          <w:rFonts w:ascii="Times New Roman" w:hAnsi="Times New Roman" w:cs="Times New Roman"/>
          <w:iCs/>
        </w:rPr>
        <w:t xml:space="preserve"> 16 luglio 2020, n.</w:t>
      </w:r>
      <w:r w:rsidR="00DE39BB">
        <w:rPr>
          <w:rFonts w:ascii="Times New Roman" w:hAnsi="Times New Roman" w:cs="Times New Roman"/>
          <w:iCs/>
        </w:rPr>
        <w:t xml:space="preserve"> </w:t>
      </w:r>
      <w:r w:rsidR="00AB1C3F" w:rsidRPr="00AB1C3F">
        <w:rPr>
          <w:rFonts w:ascii="Times New Roman" w:hAnsi="Times New Roman" w:cs="Times New Roman"/>
          <w:iCs/>
        </w:rPr>
        <w:t>76, come novellato dall’art. 51 del decreto legge 31 maggio 2021, n. 77, convertito con</w:t>
      </w:r>
      <w:r w:rsidR="00DE39BB">
        <w:rPr>
          <w:rFonts w:ascii="Times New Roman" w:hAnsi="Times New Roman" w:cs="Times New Roman"/>
          <w:iCs/>
        </w:rPr>
        <w:t xml:space="preserve"> </w:t>
      </w:r>
      <w:r w:rsidR="00AB1C3F" w:rsidRPr="00AB1C3F">
        <w:rPr>
          <w:rFonts w:ascii="Times New Roman" w:hAnsi="Times New Roman" w:cs="Times New Roman"/>
          <w:iCs/>
        </w:rPr>
        <w:t>modificazioni dalla legge 29 luglio 2021, n.108, cumulabile nel caso di pluralità di interventi.</w:t>
      </w:r>
    </w:p>
    <w:p w14:paraId="69073B3B" w14:textId="45DBE4B7" w:rsidR="00DE39BB" w:rsidRDefault="00DE39BB" w:rsidP="00DE39BB">
      <w:pPr>
        <w:spacing w:after="12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I contratti potranno essere stipulati </w:t>
      </w:r>
      <w:r w:rsidRPr="00DE39BB">
        <w:rPr>
          <w:rFonts w:ascii="Times New Roman" w:hAnsi="Times New Roman" w:cs="Times New Roman"/>
          <w:iCs/>
        </w:rPr>
        <w:t>nel limite del 2% dell’importo dei lavori da</w:t>
      </w:r>
      <w:r>
        <w:rPr>
          <w:rFonts w:ascii="Times New Roman" w:hAnsi="Times New Roman" w:cs="Times New Roman"/>
          <w:iCs/>
        </w:rPr>
        <w:t xml:space="preserve"> </w:t>
      </w:r>
      <w:r w:rsidRPr="00DE39BB">
        <w:rPr>
          <w:rFonts w:ascii="Times New Roman" w:hAnsi="Times New Roman" w:cs="Times New Roman"/>
          <w:iCs/>
        </w:rPr>
        <w:t>imputare al quadro economico di ciascun intervento</w:t>
      </w:r>
      <w:r>
        <w:rPr>
          <w:rFonts w:ascii="Times New Roman" w:hAnsi="Times New Roman" w:cs="Times New Roman"/>
          <w:iCs/>
        </w:rPr>
        <w:t>.</w:t>
      </w:r>
    </w:p>
    <w:p w14:paraId="1FE20C29" w14:textId="25DC3915" w:rsidR="00DE39BB" w:rsidRPr="00AB1C3F" w:rsidRDefault="00DE39BB" w:rsidP="00DE39BB">
      <w:pPr>
        <w:spacing w:after="12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Per l’attuazione delle </w:t>
      </w:r>
      <w:proofErr w:type="gramStart"/>
      <w:r>
        <w:rPr>
          <w:rFonts w:ascii="Times New Roman" w:hAnsi="Times New Roman" w:cs="Times New Roman"/>
          <w:iCs/>
        </w:rPr>
        <w:t>predette</w:t>
      </w:r>
      <w:proofErr w:type="gramEnd"/>
      <w:r>
        <w:rPr>
          <w:rFonts w:ascii="Times New Roman" w:hAnsi="Times New Roman" w:cs="Times New Roman"/>
          <w:iCs/>
        </w:rPr>
        <w:t xml:space="preserve"> fattispecie di supporto la presentazione della proposta di progetto di utilizzo è facoltativa, potendo </w:t>
      </w:r>
      <w:r w:rsidR="0055325F">
        <w:rPr>
          <w:rFonts w:ascii="Times New Roman" w:hAnsi="Times New Roman" w:cs="Times New Roman"/>
          <w:iCs/>
        </w:rPr>
        <w:t xml:space="preserve">i Responsabili </w:t>
      </w:r>
      <w:r>
        <w:rPr>
          <w:rFonts w:ascii="Times New Roman" w:hAnsi="Times New Roman" w:cs="Times New Roman"/>
          <w:iCs/>
        </w:rPr>
        <w:t>avvalersi di propri separati elenchi e procedure.</w:t>
      </w:r>
    </w:p>
    <w:p w14:paraId="5D50EA6C" w14:textId="1890CE04" w:rsidR="00AB1C3F" w:rsidRPr="00AB1C3F" w:rsidRDefault="00DE39BB" w:rsidP="00AB1C3F">
      <w:pPr>
        <w:spacing w:after="12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3.2 </w:t>
      </w:r>
      <w:r w:rsidRPr="00EC4F4B">
        <w:rPr>
          <w:rFonts w:ascii="Times New Roman" w:hAnsi="Times New Roman" w:cs="Times New Roman"/>
          <w:i/>
          <w:u w:val="single"/>
        </w:rPr>
        <w:t>I</w:t>
      </w:r>
      <w:r w:rsidR="00AB1C3F" w:rsidRPr="00EC4F4B">
        <w:rPr>
          <w:rFonts w:ascii="Times New Roman" w:hAnsi="Times New Roman" w:cs="Times New Roman"/>
          <w:i/>
          <w:u w:val="single"/>
        </w:rPr>
        <w:t>ncarichi conferiti</w:t>
      </w:r>
      <w:r w:rsidRPr="00EC4F4B">
        <w:rPr>
          <w:rFonts w:ascii="Times New Roman" w:hAnsi="Times New Roman" w:cs="Times New Roman"/>
          <w:i/>
          <w:u w:val="single"/>
        </w:rPr>
        <w:t xml:space="preserve"> direttamente da USRC</w:t>
      </w:r>
      <w:r w:rsidR="00AB1C3F" w:rsidRPr="00EC4F4B">
        <w:rPr>
          <w:rFonts w:ascii="Times New Roman" w:hAnsi="Times New Roman" w:cs="Times New Roman"/>
          <w:i/>
          <w:u w:val="single"/>
        </w:rPr>
        <w:t>, con le procedure di</w:t>
      </w:r>
      <w:r w:rsidRPr="00EC4F4B">
        <w:rPr>
          <w:rFonts w:ascii="Times New Roman" w:hAnsi="Times New Roman" w:cs="Times New Roman"/>
          <w:i/>
          <w:u w:val="single"/>
        </w:rPr>
        <w:t xml:space="preserve"> </w:t>
      </w:r>
      <w:r w:rsidR="00AB1C3F" w:rsidRPr="00EC4F4B">
        <w:rPr>
          <w:rFonts w:ascii="Times New Roman" w:hAnsi="Times New Roman" w:cs="Times New Roman"/>
          <w:i/>
          <w:u w:val="single"/>
        </w:rPr>
        <w:t>cui all’articolo 7, comma 6, del decreto legislativo n. 165/</w:t>
      </w:r>
      <w:r w:rsidRPr="00EC4F4B">
        <w:rPr>
          <w:rFonts w:ascii="Times New Roman" w:hAnsi="Times New Roman" w:cs="Times New Roman"/>
          <w:i/>
          <w:u w:val="single"/>
        </w:rPr>
        <w:t>2001</w:t>
      </w:r>
      <w:r w:rsidR="00AB1C3F" w:rsidRPr="00AB1C3F">
        <w:rPr>
          <w:rFonts w:ascii="Times New Roman" w:hAnsi="Times New Roman" w:cs="Times New Roman"/>
          <w:iCs/>
        </w:rPr>
        <w:t>.</w:t>
      </w:r>
    </w:p>
    <w:p w14:paraId="5C4F9D28" w14:textId="5DCBB9A3" w:rsidR="00AB1C3F" w:rsidRDefault="00AB1C3F" w:rsidP="00AB1C3F">
      <w:pPr>
        <w:spacing w:after="120" w:line="240" w:lineRule="auto"/>
        <w:jc w:val="both"/>
        <w:rPr>
          <w:rFonts w:ascii="Times New Roman" w:hAnsi="Times New Roman" w:cs="Times New Roman"/>
          <w:iCs/>
        </w:rPr>
      </w:pPr>
      <w:r w:rsidRPr="00AB1C3F">
        <w:rPr>
          <w:rFonts w:ascii="Times New Roman" w:hAnsi="Times New Roman" w:cs="Times New Roman"/>
          <w:iCs/>
        </w:rPr>
        <w:t xml:space="preserve">Le </w:t>
      </w:r>
      <w:proofErr w:type="gramStart"/>
      <w:r w:rsidR="00DE39BB">
        <w:rPr>
          <w:rFonts w:ascii="Times New Roman" w:hAnsi="Times New Roman" w:cs="Times New Roman"/>
          <w:iCs/>
        </w:rPr>
        <w:t>predette</w:t>
      </w:r>
      <w:proofErr w:type="gramEnd"/>
      <w:r w:rsidR="00DE39BB">
        <w:rPr>
          <w:rFonts w:ascii="Times New Roman" w:hAnsi="Times New Roman" w:cs="Times New Roman"/>
          <w:iCs/>
        </w:rPr>
        <w:t xml:space="preserve"> </w:t>
      </w:r>
      <w:r w:rsidRPr="00AB1C3F">
        <w:rPr>
          <w:rFonts w:ascii="Times New Roman" w:hAnsi="Times New Roman" w:cs="Times New Roman"/>
          <w:iCs/>
        </w:rPr>
        <w:t>risorse professionali di cui al presente comma possono essere destinate</w:t>
      </w:r>
      <w:r w:rsidR="0055325F">
        <w:rPr>
          <w:rFonts w:ascii="Times New Roman" w:hAnsi="Times New Roman" w:cs="Times New Roman"/>
          <w:iCs/>
        </w:rPr>
        <w:t xml:space="preserve"> </w:t>
      </w:r>
      <w:r w:rsidRPr="00AB1C3F">
        <w:rPr>
          <w:rFonts w:ascii="Times New Roman" w:hAnsi="Times New Roman" w:cs="Times New Roman"/>
          <w:iCs/>
        </w:rPr>
        <w:t>anche a favore dei Responsabili degli interventi</w:t>
      </w:r>
      <w:r w:rsidR="00DE39BB">
        <w:rPr>
          <w:rFonts w:ascii="Times New Roman" w:hAnsi="Times New Roman" w:cs="Times New Roman"/>
          <w:iCs/>
        </w:rPr>
        <w:t xml:space="preserve"> che ne facciano richiesta esclusivamente con le modalità di cui all’art</w:t>
      </w:r>
      <w:r w:rsidR="0055325F">
        <w:rPr>
          <w:rFonts w:ascii="Times New Roman" w:hAnsi="Times New Roman" w:cs="Times New Roman"/>
          <w:iCs/>
        </w:rPr>
        <w:t>icolo</w:t>
      </w:r>
      <w:r w:rsidR="00DE39BB">
        <w:rPr>
          <w:rFonts w:ascii="Times New Roman" w:hAnsi="Times New Roman" w:cs="Times New Roman"/>
          <w:iCs/>
        </w:rPr>
        <w:t xml:space="preserve"> 2.</w:t>
      </w:r>
    </w:p>
    <w:p w14:paraId="6B9D9860" w14:textId="112DE620" w:rsidR="003944A7" w:rsidRDefault="003944A7" w:rsidP="00AB1C3F">
      <w:pPr>
        <w:spacing w:after="12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Gli incarichi verranno conferiti previa valutazione comparativa curriculare, sulla base delle esigenze di progetto e dei requisiti professionali e di esperienza ritenuti maggiormanete coerenti.</w:t>
      </w:r>
    </w:p>
    <w:p w14:paraId="28E21A5E" w14:textId="0F957DBC" w:rsidR="003944A7" w:rsidRDefault="003944A7" w:rsidP="00AB1C3F">
      <w:pPr>
        <w:spacing w:after="12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Le valutazioni terranno inoltre conto di eventuali cause ostative al conferimento dell’incarico regolate dalla vigente normative.</w:t>
      </w:r>
    </w:p>
    <w:p w14:paraId="75054E64" w14:textId="0786E563" w:rsidR="003944A7" w:rsidRDefault="003944A7" w:rsidP="00AB1C3F">
      <w:pPr>
        <w:spacing w:after="12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Il/i gruppo/i di lavoro istituiti per le </w:t>
      </w:r>
      <w:proofErr w:type="gramStart"/>
      <w:r>
        <w:rPr>
          <w:rFonts w:ascii="Times New Roman" w:hAnsi="Times New Roman" w:cs="Times New Roman"/>
          <w:iCs/>
        </w:rPr>
        <w:t>predette</w:t>
      </w:r>
      <w:proofErr w:type="gramEnd"/>
      <w:r>
        <w:rPr>
          <w:rFonts w:ascii="Times New Roman" w:hAnsi="Times New Roman" w:cs="Times New Roman"/>
          <w:iCs/>
        </w:rPr>
        <w:t xml:space="preserve"> valutazioni utilizzeranno criteri di aggregazione dei progetti e condivisione delle professionalità tra più responsabili sulla base dei seguenti criteri:</w:t>
      </w:r>
    </w:p>
    <w:p w14:paraId="5D1AB98A" w14:textId="0535E029" w:rsidR="003944A7" w:rsidRPr="0057517D" w:rsidRDefault="003944A7" w:rsidP="003944A7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57517D">
        <w:rPr>
          <w:rFonts w:ascii="Times New Roman" w:hAnsi="Times New Roman" w:cs="Times New Roman"/>
          <w:i/>
        </w:rPr>
        <w:t xml:space="preserve">interventi logisticamente ubicati in territori </w:t>
      </w:r>
      <w:r w:rsidR="0057517D" w:rsidRPr="0057517D">
        <w:rPr>
          <w:rFonts w:ascii="Times New Roman" w:hAnsi="Times New Roman" w:cs="Times New Roman"/>
          <w:i/>
        </w:rPr>
        <w:t>omogenei (area omogenea, comprensori, comuni confinanti);</w:t>
      </w:r>
    </w:p>
    <w:p w14:paraId="7EE547F4" w14:textId="1AF1AE5E" w:rsidR="0057517D" w:rsidRPr="0057517D" w:rsidRDefault="0057517D" w:rsidP="003944A7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57517D">
        <w:rPr>
          <w:rFonts w:ascii="Times New Roman" w:hAnsi="Times New Roman" w:cs="Times New Roman"/>
          <w:i/>
        </w:rPr>
        <w:t>interventi recanti requisiti di analogia o complementarità;</w:t>
      </w:r>
    </w:p>
    <w:p w14:paraId="44BB094A" w14:textId="5B0835D6" w:rsidR="0057517D" w:rsidRPr="0057517D" w:rsidRDefault="0057517D" w:rsidP="003944A7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57517D">
        <w:rPr>
          <w:rFonts w:ascii="Times New Roman" w:hAnsi="Times New Roman" w:cs="Times New Roman"/>
          <w:i/>
        </w:rPr>
        <w:t>interventi da realizzarsi con modelli di coordinamento o aggregazione.</w:t>
      </w:r>
    </w:p>
    <w:p w14:paraId="72529F95" w14:textId="714662D9" w:rsidR="00AB1C3F" w:rsidRDefault="00AB1C3F" w:rsidP="00AB1C3F">
      <w:pPr>
        <w:spacing w:after="120" w:line="240" w:lineRule="auto"/>
        <w:jc w:val="both"/>
        <w:rPr>
          <w:rFonts w:ascii="Times New Roman" w:hAnsi="Times New Roman" w:cs="Times New Roman"/>
          <w:iCs/>
        </w:rPr>
      </w:pPr>
    </w:p>
    <w:p w14:paraId="344B0616" w14:textId="0B1E9322" w:rsidR="00EC4F4B" w:rsidRPr="00EC4F4B" w:rsidRDefault="00EC4F4B" w:rsidP="00EC4F4B">
      <w:pPr>
        <w:spacing w:after="12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EC4F4B">
        <w:rPr>
          <w:rFonts w:ascii="Times New Roman" w:hAnsi="Times New Roman" w:cs="Times New Roman"/>
          <w:b/>
          <w:bCs/>
          <w:iCs/>
        </w:rPr>
        <w:t xml:space="preserve">Art. </w:t>
      </w:r>
      <w:r w:rsidR="006256EE">
        <w:rPr>
          <w:rFonts w:ascii="Times New Roman" w:hAnsi="Times New Roman" w:cs="Times New Roman"/>
          <w:b/>
          <w:bCs/>
          <w:iCs/>
        </w:rPr>
        <w:t xml:space="preserve">3 </w:t>
      </w:r>
      <w:r w:rsidRPr="00EC4F4B">
        <w:rPr>
          <w:rFonts w:ascii="Times New Roman" w:hAnsi="Times New Roman" w:cs="Times New Roman"/>
          <w:b/>
          <w:bCs/>
          <w:iCs/>
        </w:rPr>
        <w:t>– Attuazione del progetto di utilizzo</w:t>
      </w:r>
      <w:r w:rsidR="003944A7">
        <w:rPr>
          <w:rFonts w:ascii="Times New Roman" w:hAnsi="Times New Roman" w:cs="Times New Roman"/>
          <w:b/>
          <w:bCs/>
          <w:iCs/>
        </w:rPr>
        <w:t xml:space="preserve"> e rendicontazione degli obiettivi</w:t>
      </w:r>
    </w:p>
    <w:p w14:paraId="3F886256" w14:textId="77777777" w:rsidR="002F3540" w:rsidRDefault="0055325F" w:rsidP="009507D1">
      <w:pPr>
        <w:spacing w:after="12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4. L’Ufficio Speciale – al fine di assolvere </w:t>
      </w:r>
      <w:r w:rsidR="002F3540">
        <w:rPr>
          <w:rFonts w:ascii="Times New Roman" w:hAnsi="Times New Roman" w:cs="Times New Roman"/>
          <w:iCs/>
        </w:rPr>
        <w:t xml:space="preserve">le funzioni </w:t>
      </w:r>
      <w:r w:rsidR="002F3540" w:rsidRPr="002F3540">
        <w:rPr>
          <w:rFonts w:ascii="Times New Roman" w:hAnsi="Times New Roman" w:cs="Times New Roman"/>
          <w:iCs/>
        </w:rPr>
        <w:t>di supporto all’attuazione degli interventi</w:t>
      </w:r>
      <w:r w:rsidR="002F3540">
        <w:rPr>
          <w:rFonts w:ascii="Times New Roman" w:hAnsi="Times New Roman" w:cs="Times New Roman"/>
          <w:iCs/>
        </w:rPr>
        <w:t xml:space="preserve">, potrà valutare positivamente la proposta di progetto di utilizzo delle professionalità inserite nella short-list conferendo </w:t>
      </w:r>
      <w:r w:rsidR="002F3540">
        <w:rPr>
          <w:rFonts w:ascii="Times New Roman" w:hAnsi="Times New Roman" w:cs="Times New Roman"/>
          <w:iCs/>
        </w:rPr>
        <w:lastRenderedPageBreak/>
        <w:t>incarichi di lavoro autonomo, recanti gli obiettivi di progetto e le modalità di verifica e rendicontazione degli stessi da parte dell’esperto e del Responsabile utilizzatore.</w:t>
      </w:r>
    </w:p>
    <w:p w14:paraId="67DB765B" w14:textId="77777777" w:rsidR="002F3540" w:rsidRDefault="002F3540" w:rsidP="009507D1">
      <w:pPr>
        <w:spacing w:after="12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4.1 Gli incarichi verranno conferiti con il modello tipo approvato come Allegato E e dovranno essere corredati – quale elemento essenziale – della scheda obiettivi riferita ad uno o più progetti facenti capo ad uno o più Responsabili di Intervento.</w:t>
      </w:r>
    </w:p>
    <w:p w14:paraId="3886531D" w14:textId="2287FA95" w:rsidR="00EC4F4B" w:rsidRDefault="002F3540" w:rsidP="009507D1">
      <w:pPr>
        <w:spacing w:after="12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4.2 </w:t>
      </w:r>
      <w:r w:rsidR="009507D1">
        <w:rPr>
          <w:rFonts w:ascii="Times New Roman" w:hAnsi="Times New Roman" w:cs="Times New Roman"/>
          <w:iCs/>
        </w:rPr>
        <w:t>Gli obiettivi dovranno essere individuati e sviluppati in coerenza con i seguenti indicatori:</w:t>
      </w:r>
    </w:p>
    <w:p w14:paraId="55A4F8C6" w14:textId="2A0EABDC" w:rsidR="009507D1" w:rsidRPr="009507D1" w:rsidRDefault="009507D1" w:rsidP="009507D1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9507D1">
        <w:rPr>
          <w:rFonts w:ascii="Times New Roman" w:hAnsi="Times New Roman" w:cs="Times New Roman"/>
          <w:i/>
        </w:rPr>
        <w:t>(i) Rispetto della tempistica individuata dal legislatore al fine di garantire la capacità di spesa e di gestione dei fondi e la realizzazione delle opere;</w:t>
      </w:r>
    </w:p>
    <w:p w14:paraId="3DE47527" w14:textId="77777777" w:rsidR="009507D1" w:rsidRPr="009507D1" w:rsidRDefault="009507D1" w:rsidP="009507D1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9507D1">
        <w:rPr>
          <w:rFonts w:ascii="Times New Roman" w:hAnsi="Times New Roman" w:cs="Times New Roman"/>
          <w:i/>
        </w:rPr>
        <w:t xml:space="preserve">(ii) Qualità degli atti e della documentazione di rendicontazione; coerenza con le scelte progettuali rispetto ai processi ed alle regole di ricostruzione pubblica e privata; </w:t>
      </w:r>
    </w:p>
    <w:p w14:paraId="006F1D48" w14:textId="4EC17624" w:rsidR="009507D1" w:rsidRPr="009507D1" w:rsidRDefault="009507D1" w:rsidP="009507D1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9507D1">
        <w:rPr>
          <w:rFonts w:ascii="Times New Roman" w:hAnsi="Times New Roman" w:cs="Times New Roman"/>
          <w:i/>
        </w:rPr>
        <w:t>(iii) Sviluppo di modelli amministrativi e buone prassi anche improntati alla digitalizzazione dei processi e dei servizi</w:t>
      </w:r>
    </w:p>
    <w:p w14:paraId="41C30AE7" w14:textId="09447443" w:rsidR="009507D1" w:rsidRPr="009507D1" w:rsidRDefault="009507D1" w:rsidP="009507D1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9507D1">
        <w:rPr>
          <w:rFonts w:ascii="Times New Roman" w:hAnsi="Times New Roman" w:cs="Times New Roman"/>
          <w:i/>
        </w:rPr>
        <w:t>(iv) Qualità urbanistica delle scelte progettuali</w:t>
      </w:r>
    </w:p>
    <w:p w14:paraId="72861F26" w14:textId="66E62B14" w:rsidR="009507D1" w:rsidRPr="009507D1" w:rsidRDefault="009507D1" w:rsidP="009507D1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9507D1">
        <w:rPr>
          <w:rFonts w:ascii="Times New Roman" w:hAnsi="Times New Roman" w:cs="Times New Roman"/>
          <w:i/>
        </w:rPr>
        <w:t>(v) Rispetto della programmazione generale</w:t>
      </w:r>
    </w:p>
    <w:p w14:paraId="1E65FB4E" w14:textId="63DAB3E1" w:rsidR="009507D1" w:rsidRPr="009507D1" w:rsidRDefault="009507D1" w:rsidP="009507D1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9507D1">
        <w:rPr>
          <w:rFonts w:ascii="Times New Roman" w:hAnsi="Times New Roman" w:cs="Times New Roman"/>
          <w:i/>
        </w:rPr>
        <w:t>(vi) Audit documentale e monitoraggio delle procedure di gara</w:t>
      </w:r>
    </w:p>
    <w:p w14:paraId="4966949C" w14:textId="5E0E0B47" w:rsidR="009507D1" w:rsidRPr="009507D1" w:rsidRDefault="009507D1" w:rsidP="009507D1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9507D1">
        <w:rPr>
          <w:rFonts w:ascii="Times New Roman" w:hAnsi="Times New Roman" w:cs="Times New Roman"/>
          <w:i/>
        </w:rPr>
        <w:t>(vii) Monitoraggio fisico e procedurale, finanziario e di processo (analisi e interpretazione dati)</w:t>
      </w:r>
    </w:p>
    <w:p w14:paraId="0FE3CF0C" w14:textId="4A861148" w:rsidR="009507D1" w:rsidRDefault="009507D1" w:rsidP="009507D1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9507D1">
        <w:rPr>
          <w:rFonts w:ascii="Times New Roman" w:hAnsi="Times New Roman" w:cs="Times New Roman"/>
          <w:i/>
        </w:rPr>
        <w:t>(viii) Pianificazione della comunicazione e dei risultati di progetto a sostegno dei programmi di sviluppo del territorio</w:t>
      </w:r>
      <w:r>
        <w:rPr>
          <w:rFonts w:ascii="Times New Roman" w:hAnsi="Times New Roman" w:cs="Times New Roman"/>
          <w:i/>
        </w:rPr>
        <w:t>.</w:t>
      </w:r>
    </w:p>
    <w:p w14:paraId="1451CEE6" w14:textId="11A12F9C" w:rsidR="009507D1" w:rsidRDefault="009507D1" w:rsidP="009507D1">
      <w:pPr>
        <w:spacing w:after="12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4.3 A conclusione di ciascun </w:t>
      </w:r>
      <w:r w:rsidR="00460B3F">
        <w:rPr>
          <w:rFonts w:ascii="Times New Roman" w:hAnsi="Times New Roman" w:cs="Times New Roman"/>
          <w:iCs/>
        </w:rPr>
        <w:t>bime</w:t>
      </w:r>
      <w:r>
        <w:rPr>
          <w:rFonts w:ascii="Times New Roman" w:hAnsi="Times New Roman" w:cs="Times New Roman"/>
          <w:iCs/>
        </w:rPr>
        <w:t>stre</w:t>
      </w:r>
      <w:r w:rsidR="003944A7">
        <w:rPr>
          <w:rFonts w:ascii="Times New Roman" w:hAnsi="Times New Roman" w:cs="Times New Roman"/>
          <w:iCs/>
        </w:rPr>
        <w:t xml:space="preserve"> di progetto</w:t>
      </w:r>
      <w:r>
        <w:rPr>
          <w:rFonts w:ascii="Times New Roman" w:hAnsi="Times New Roman" w:cs="Times New Roman"/>
          <w:iCs/>
        </w:rPr>
        <w:t xml:space="preserve"> l’esperto trasmetterà una relazione dettagliata avente od oggetto le attività svolte al Responsabile/i di intervento/i al fine di richiedere il rilascio del nulla osta al pagamento con attestazione di coerente sviluppo degli obiettivi. Ottenuto il nulla osta</w:t>
      </w:r>
      <w:r w:rsidR="003F03DB">
        <w:rPr>
          <w:rFonts w:ascii="Times New Roman" w:hAnsi="Times New Roman" w:cs="Times New Roman"/>
          <w:iCs/>
        </w:rPr>
        <w:t>, l’esperto trasmette la relazione corredata dal nulla osta e il documento contabile all’USRC che, verificata la coerenza con gli indicatori di cui al punto che precede, esegue la liquidazione del pagamento.</w:t>
      </w:r>
    </w:p>
    <w:p w14:paraId="35E99EFA" w14:textId="12476FB2" w:rsidR="003F03DB" w:rsidRDefault="003F03DB" w:rsidP="009507D1">
      <w:pPr>
        <w:spacing w:after="12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4.4 L’Ufficio Speciale potrà riservarsi di richiedere all’esperto ed al Responsabile di intervento chiarimenti e/o di richiedere all’esperto attività aggiuntive o migliorative al fine di consentire il corretto svolgimento delle funzioni di supporto alla realizzazione degli interventi.</w:t>
      </w:r>
    </w:p>
    <w:p w14:paraId="5994CA24" w14:textId="3C1BB60C" w:rsidR="003F03DB" w:rsidRDefault="003F03DB" w:rsidP="009507D1">
      <w:pPr>
        <w:spacing w:after="120" w:line="240" w:lineRule="auto"/>
        <w:jc w:val="both"/>
        <w:rPr>
          <w:rFonts w:ascii="Times New Roman" w:hAnsi="Times New Roman" w:cs="Times New Roman"/>
          <w:iCs/>
        </w:rPr>
      </w:pPr>
    </w:p>
    <w:p w14:paraId="0E23C494" w14:textId="0E1A2E87" w:rsidR="003F03DB" w:rsidRDefault="003944A7" w:rsidP="003944A7">
      <w:pPr>
        <w:spacing w:after="12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3944A7">
        <w:rPr>
          <w:rFonts w:ascii="Times New Roman" w:hAnsi="Times New Roman" w:cs="Times New Roman"/>
          <w:b/>
          <w:bCs/>
          <w:iCs/>
        </w:rPr>
        <w:t xml:space="preserve">Art. </w:t>
      </w:r>
      <w:r w:rsidR="006256EE">
        <w:rPr>
          <w:rFonts w:ascii="Times New Roman" w:hAnsi="Times New Roman" w:cs="Times New Roman"/>
          <w:b/>
          <w:bCs/>
          <w:iCs/>
        </w:rPr>
        <w:t>4</w:t>
      </w:r>
      <w:r w:rsidRPr="003944A7">
        <w:rPr>
          <w:rFonts w:ascii="Times New Roman" w:hAnsi="Times New Roman" w:cs="Times New Roman"/>
          <w:b/>
          <w:bCs/>
          <w:iCs/>
        </w:rPr>
        <w:t xml:space="preserve"> </w:t>
      </w:r>
      <w:r w:rsidR="001563AE">
        <w:rPr>
          <w:rFonts w:ascii="Times New Roman" w:hAnsi="Times New Roman" w:cs="Times New Roman"/>
          <w:b/>
          <w:bCs/>
          <w:iCs/>
        </w:rPr>
        <w:t>–</w:t>
      </w:r>
      <w:r w:rsidRPr="003944A7">
        <w:rPr>
          <w:rFonts w:ascii="Times New Roman" w:hAnsi="Times New Roman" w:cs="Times New Roman"/>
          <w:b/>
          <w:bCs/>
          <w:iCs/>
        </w:rPr>
        <w:t xml:space="preserve"> </w:t>
      </w:r>
      <w:r w:rsidR="001563AE">
        <w:rPr>
          <w:rFonts w:ascii="Times New Roman" w:hAnsi="Times New Roman" w:cs="Times New Roman"/>
          <w:b/>
          <w:bCs/>
          <w:iCs/>
        </w:rPr>
        <w:t>Recesso, risoluzione, nullità e durata</w:t>
      </w:r>
    </w:p>
    <w:p w14:paraId="54964B3D" w14:textId="59FE48A7" w:rsidR="0057517D" w:rsidRPr="0057517D" w:rsidRDefault="0057517D" w:rsidP="0057517D">
      <w:pPr>
        <w:spacing w:after="12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5.1 </w:t>
      </w:r>
      <w:r w:rsidRPr="0057517D">
        <w:rPr>
          <w:rFonts w:ascii="Times New Roman" w:hAnsi="Times New Roman" w:cs="Times New Roman"/>
          <w:iCs/>
        </w:rPr>
        <w:t xml:space="preserve">Gli istituti del recesso e della risoluzione verranno regolati in coerenza con le norme del </w:t>
      </w:r>
      <w:proofErr w:type="gramStart"/>
      <w:r w:rsidRPr="0057517D">
        <w:rPr>
          <w:rFonts w:ascii="Times New Roman" w:hAnsi="Times New Roman" w:cs="Times New Roman"/>
          <w:iCs/>
        </w:rPr>
        <w:t>codice civile</w:t>
      </w:r>
      <w:proofErr w:type="gramEnd"/>
      <w:r w:rsidRPr="0057517D">
        <w:rPr>
          <w:rFonts w:ascii="Times New Roman" w:hAnsi="Times New Roman" w:cs="Times New Roman"/>
          <w:iCs/>
        </w:rPr>
        <w:t xml:space="preserve"> nell’ambito del contratto recante l’incarico all’esperto.</w:t>
      </w:r>
    </w:p>
    <w:p w14:paraId="0B236634" w14:textId="3B21936E" w:rsidR="0057517D" w:rsidRPr="0057517D" w:rsidRDefault="0057517D" w:rsidP="0057517D">
      <w:pPr>
        <w:spacing w:after="120" w:line="240" w:lineRule="auto"/>
        <w:jc w:val="both"/>
        <w:rPr>
          <w:rFonts w:ascii="Times New Roman" w:hAnsi="Times New Roman" w:cs="Times New Roman"/>
          <w:iCs/>
        </w:rPr>
      </w:pPr>
      <w:r w:rsidRPr="0057517D">
        <w:rPr>
          <w:rFonts w:ascii="Times New Roman" w:hAnsi="Times New Roman" w:cs="Times New Roman"/>
          <w:iCs/>
        </w:rPr>
        <w:t>Il Responsabile di intervento deve segnalare tempestivamente ogni eventuale inadempimento e/o condizione analoga all’Ufficio Speciale.</w:t>
      </w:r>
    </w:p>
    <w:p w14:paraId="1221AEDE" w14:textId="6995756B" w:rsidR="0057517D" w:rsidRPr="0057517D" w:rsidRDefault="0057517D" w:rsidP="0057517D">
      <w:pPr>
        <w:spacing w:after="12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5.2 </w:t>
      </w:r>
      <w:r w:rsidRPr="0057517D">
        <w:rPr>
          <w:rFonts w:ascii="Times New Roman" w:hAnsi="Times New Roman" w:cs="Times New Roman"/>
          <w:iCs/>
        </w:rPr>
        <w:t>L’eventuale utilizzo dell’esperto per finalità difformi dal progetto comporterà l’immediata risoluzione del contratto da parte dell’Ufficio Speciale.</w:t>
      </w:r>
    </w:p>
    <w:p w14:paraId="18E38B5A" w14:textId="5BBD1F6A" w:rsidR="0057517D" w:rsidRDefault="0057517D" w:rsidP="0057517D">
      <w:pPr>
        <w:spacing w:after="120" w:line="240" w:lineRule="auto"/>
        <w:jc w:val="both"/>
        <w:rPr>
          <w:rFonts w:ascii="Times New Roman" w:hAnsi="Times New Roman" w:cs="Times New Roman"/>
          <w:iCs/>
        </w:rPr>
      </w:pPr>
      <w:r w:rsidRPr="0057517D">
        <w:rPr>
          <w:rFonts w:ascii="Times New Roman" w:hAnsi="Times New Roman" w:cs="Times New Roman"/>
          <w:iCs/>
        </w:rPr>
        <w:t>L’esperto potrà segnalare all’Ufficio Speciale ogni eventuale inesatto utilizzo da parte del responsabile di intervento.</w:t>
      </w:r>
    </w:p>
    <w:p w14:paraId="7CCB82B0" w14:textId="266184DD" w:rsidR="00B63966" w:rsidRDefault="001563AE" w:rsidP="001563AE">
      <w:pPr>
        <w:spacing w:after="12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5.3 I </w:t>
      </w:r>
      <w:r w:rsidRPr="001563AE">
        <w:rPr>
          <w:rFonts w:ascii="Times New Roman" w:hAnsi="Times New Roman" w:cs="Times New Roman"/>
          <w:iCs/>
        </w:rPr>
        <w:t>contratti</w:t>
      </w:r>
      <w:r>
        <w:rPr>
          <w:rFonts w:ascii="Times New Roman" w:hAnsi="Times New Roman" w:cs="Times New Roman"/>
          <w:iCs/>
        </w:rPr>
        <w:t xml:space="preserve"> </w:t>
      </w:r>
      <w:r w:rsidRPr="001563AE">
        <w:rPr>
          <w:rFonts w:ascii="Times New Roman" w:hAnsi="Times New Roman" w:cs="Times New Roman"/>
          <w:iCs/>
        </w:rPr>
        <w:t xml:space="preserve">non </w:t>
      </w:r>
      <w:r>
        <w:rPr>
          <w:rFonts w:ascii="Times New Roman" w:hAnsi="Times New Roman" w:cs="Times New Roman"/>
          <w:iCs/>
        </w:rPr>
        <w:t xml:space="preserve">potranno avere una durata </w:t>
      </w:r>
      <w:r w:rsidRPr="001563AE">
        <w:rPr>
          <w:rFonts w:ascii="Times New Roman" w:hAnsi="Times New Roman" w:cs="Times New Roman"/>
          <w:iCs/>
        </w:rPr>
        <w:t>eccedente la durata di attuazione dei progetti di competenza delle</w:t>
      </w:r>
      <w:r>
        <w:rPr>
          <w:rFonts w:ascii="Times New Roman" w:hAnsi="Times New Roman" w:cs="Times New Roman"/>
          <w:iCs/>
        </w:rPr>
        <w:t xml:space="preserve"> </w:t>
      </w:r>
      <w:r w:rsidRPr="001563AE">
        <w:rPr>
          <w:rFonts w:ascii="Times New Roman" w:hAnsi="Times New Roman" w:cs="Times New Roman"/>
          <w:iCs/>
        </w:rPr>
        <w:t xml:space="preserve">singole amministrazioni </w:t>
      </w:r>
      <w:r>
        <w:rPr>
          <w:rFonts w:ascii="Times New Roman" w:hAnsi="Times New Roman" w:cs="Times New Roman"/>
          <w:iCs/>
        </w:rPr>
        <w:t>responsabili di intervento</w:t>
      </w:r>
      <w:r w:rsidRPr="001563AE">
        <w:rPr>
          <w:rFonts w:ascii="Times New Roman" w:hAnsi="Times New Roman" w:cs="Times New Roman"/>
          <w:iCs/>
        </w:rPr>
        <w:t xml:space="preserve">. Tali contratti </w:t>
      </w:r>
      <w:r>
        <w:rPr>
          <w:rFonts w:ascii="Times New Roman" w:hAnsi="Times New Roman" w:cs="Times New Roman"/>
          <w:iCs/>
        </w:rPr>
        <w:t xml:space="preserve">dovranno indicare </w:t>
      </w:r>
      <w:r w:rsidRPr="001563AE">
        <w:rPr>
          <w:rFonts w:ascii="Times New Roman" w:hAnsi="Times New Roman" w:cs="Times New Roman"/>
          <w:iCs/>
        </w:rPr>
        <w:t>il progetto al quale è riferita la prestazione e po</w:t>
      </w:r>
      <w:r>
        <w:rPr>
          <w:rFonts w:ascii="Times New Roman" w:hAnsi="Times New Roman" w:cs="Times New Roman"/>
          <w:iCs/>
        </w:rPr>
        <w:t>tranno</w:t>
      </w:r>
      <w:r w:rsidRPr="001563AE">
        <w:rPr>
          <w:rFonts w:ascii="Times New Roman" w:hAnsi="Times New Roman" w:cs="Times New Roman"/>
          <w:iCs/>
        </w:rPr>
        <w:t xml:space="preserve"> essere</w:t>
      </w:r>
      <w:r>
        <w:rPr>
          <w:rFonts w:ascii="Times New Roman" w:hAnsi="Times New Roman" w:cs="Times New Roman"/>
          <w:iCs/>
        </w:rPr>
        <w:t xml:space="preserve"> </w:t>
      </w:r>
      <w:r w:rsidRPr="001563AE">
        <w:rPr>
          <w:rFonts w:ascii="Times New Roman" w:hAnsi="Times New Roman" w:cs="Times New Roman"/>
          <w:iCs/>
        </w:rPr>
        <w:t>rinnovati o prorogati</w:t>
      </w:r>
      <w:r>
        <w:rPr>
          <w:rFonts w:ascii="Times New Roman" w:hAnsi="Times New Roman" w:cs="Times New Roman"/>
          <w:iCs/>
        </w:rPr>
        <w:t xml:space="preserve"> alle condizioni eventualmente stabilite dalle norme di legge speciali che regolano l’attuazione dei </w:t>
      </w:r>
      <w:proofErr w:type="gramStart"/>
      <w:r>
        <w:rPr>
          <w:rFonts w:ascii="Times New Roman" w:hAnsi="Times New Roman" w:cs="Times New Roman"/>
          <w:iCs/>
        </w:rPr>
        <w:t>predetti</w:t>
      </w:r>
      <w:proofErr w:type="gramEnd"/>
      <w:r>
        <w:rPr>
          <w:rFonts w:ascii="Times New Roman" w:hAnsi="Times New Roman" w:cs="Times New Roman"/>
          <w:iCs/>
        </w:rPr>
        <w:t xml:space="preserve"> interventi</w:t>
      </w:r>
      <w:r w:rsidRPr="001563AE">
        <w:rPr>
          <w:rFonts w:ascii="Times New Roman" w:hAnsi="Times New Roman" w:cs="Times New Roman"/>
          <w:iCs/>
        </w:rPr>
        <w:t>. Il</w:t>
      </w:r>
      <w:r>
        <w:rPr>
          <w:rFonts w:ascii="Times New Roman" w:hAnsi="Times New Roman" w:cs="Times New Roman"/>
          <w:iCs/>
        </w:rPr>
        <w:t xml:space="preserve"> </w:t>
      </w:r>
      <w:r w:rsidRPr="001563AE">
        <w:rPr>
          <w:rFonts w:ascii="Times New Roman" w:hAnsi="Times New Roman" w:cs="Times New Roman"/>
          <w:iCs/>
        </w:rPr>
        <w:t>mancato conseguimento dei traguardi e degli obiettivi, intermedi e finali, previsti dal progetto</w:t>
      </w:r>
      <w:r>
        <w:rPr>
          <w:rFonts w:ascii="Times New Roman" w:hAnsi="Times New Roman" w:cs="Times New Roman"/>
          <w:iCs/>
        </w:rPr>
        <w:t xml:space="preserve"> </w:t>
      </w:r>
      <w:r w:rsidRPr="001563AE">
        <w:rPr>
          <w:rFonts w:ascii="Times New Roman" w:hAnsi="Times New Roman" w:cs="Times New Roman"/>
          <w:iCs/>
        </w:rPr>
        <w:t>costituisce giusta causa di recesso dell'</w:t>
      </w:r>
      <w:r>
        <w:rPr>
          <w:rFonts w:ascii="Times New Roman" w:hAnsi="Times New Roman" w:cs="Times New Roman"/>
          <w:iCs/>
        </w:rPr>
        <w:t xml:space="preserve">USRC </w:t>
      </w:r>
      <w:r w:rsidRPr="001563AE">
        <w:rPr>
          <w:rFonts w:ascii="Times New Roman" w:hAnsi="Times New Roman" w:cs="Times New Roman"/>
          <w:iCs/>
        </w:rPr>
        <w:t>dal contratto ai sensi dell'articolo 2119 del</w:t>
      </w:r>
      <w:r>
        <w:rPr>
          <w:rFonts w:ascii="Times New Roman" w:hAnsi="Times New Roman" w:cs="Times New Roman"/>
          <w:iCs/>
        </w:rPr>
        <w:t xml:space="preserve"> </w:t>
      </w:r>
      <w:proofErr w:type="gramStart"/>
      <w:r w:rsidRPr="001563AE">
        <w:rPr>
          <w:rFonts w:ascii="Times New Roman" w:hAnsi="Times New Roman" w:cs="Times New Roman"/>
          <w:iCs/>
        </w:rPr>
        <w:t>codice civile</w:t>
      </w:r>
      <w:proofErr w:type="gramEnd"/>
      <w:r>
        <w:rPr>
          <w:rFonts w:ascii="Times New Roman" w:hAnsi="Times New Roman" w:cs="Times New Roman"/>
          <w:iCs/>
        </w:rPr>
        <w:t>.</w:t>
      </w:r>
    </w:p>
    <w:p w14:paraId="4B2D7DC6" w14:textId="2B3EF956" w:rsidR="0057517D" w:rsidRDefault="0057517D" w:rsidP="0057517D">
      <w:pPr>
        <w:spacing w:after="120" w:line="240" w:lineRule="auto"/>
        <w:jc w:val="both"/>
        <w:rPr>
          <w:rFonts w:ascii="Times New Roman" w:hAnsi="Times New Roman" w:cs="Times New Roman"/>
          <w:iCs/>
        </w:rPr>
      </w:pPr>
    </w:p>
    <w:p w14:paraId="29F01B01" w14:textId="0282EE6D" w:rsidR="0057517D" w:rsidRPr="00AB1B7F" w:rsidRDefault="0057517D" w:rsidP="0057517D">
      <w:pPr>
        <w:spacing w:after="12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AB1B7F">
        <w:rPr>
          <w:rFonts w:ascii="Times New Roman" w:hAnsi="Times New Roman" w:cs="Times New Roman"/>
          <w:b/>
          <w:bCs/>
          <w:iCs/>
        </w:rPr>
        <w:t xml:space="preserve">Art. </w:t>
      </w:r>
      <w:r w:rsidR="006256EE">
        <w:rPr>
          <w:rFonts w:ascii="Times New Roman" w:hAnsi="Times New Roman" w:cs="Times New Roman"/>
          <w:b/>
          <w:bCs/>
          <w:iCs/>
        </w:rPr>
        <w:t>5</w:t>
      </w:r>
      <w:r w:rsidRPr="00AB1B7F">
        <w:rPr>
          <w:rFonts w:ascii="Times New Roman" w:hAnsi="Times New Roman" w:cs="Times New Roman"/>
          <w:b/>
          <w:bCs/>
          <w:iCs/>
        </w:rPr>
        <w:t>– Audit intermedio</w:t>
      </w:r>
      <w:r w:rsidR="00AB1B7F" w:rsidRPr="00AB1B7F">
        <w:rPr>
          <w:rFonts w:ascii="Times New Roman" w:hAnsi="Times New Roman" w:cs="Times New Roman"/>
          <w:b/>
          <w:bCs/>
          <w:iCs/>
        </w:rPr>
        <w:t xml:space="preserve"> e obiettivi eventuali</w:t>
      </w:r>
    </w:p>
    <w:p w14:paraId="2CDB6C7A" w14:textId="5AF0FDD5" w:rsidR="0057517D" w:rsidRDefault="00AB1B7F" w:rsidP="00AB1B7F">
      <w:pPr>
        <w:spacing w:after="12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6.1 L’Ufficio Speciale potrà eseguire ogni attività di audit o richiesta documentale sull’andamento del progetto e sull’andamento dell’intervento anche avvalendosi direttamente dell’esperto per tutte le finalità di rendicontazione e monitoraggio di competenza dell’USR.</w:t>
      </w:r>
    </w:p>
    <w:p w14:paraId="6A46C226" w14:textId="4BA69315" w:rsidR="00AB1B7F" w:rsidRDefault="00AB1B7F" w:rsidP="00AB1B7F">
      <w:pPr>
        <w:spacing w:after="12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6.2 Per le finalità di cui al punto che precede l’Ufficio Speciale potrà assegnare all’esperto uno o più obiettivi intermedi eventuali nonché la profilazione agli strumenti digitali </w:t>
      </w:r>
      <w:proofErr w:type="gramStart"/>
      <w:r>
        <w:rPr>
          <w:rFonts w:ascii="Times New Roman" w:hAnsi="Times New Roman" w:cs="Times New Roman"/>
          <w:iCs/>
        </w:rPr>
        <w:t>all’uopo</w:t>
      </w:r>
      <w:proofErr w:type="gramEnd"/>
      <w:r>
        <w:rPr>
          <w:rFonts w:ascii="Times New Roman" w:hAnsi="Times New Roman" w:cs="Times New Roman"/>
          <w:iCs/>
        </w:rPr>
        <w:t xml:space="preserve"> approntati.</w:t>
      </w:r>
    </w:p>
    <w:p w14:paraId="50657048" w14:textId="4598BBFF" w:rsidR="00AB1B7F" w:rsidRDefault="00AB1B7F" w:rsidP="00AB1B7F">
      <w:pPr>
        <w:spacing w:after="12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6.3 Le attività di cui al punto che precede verranno relazionate e rendicontate direttamente all’Ufficio Speciale.</w:t>
      </w:r>
    </w:p>
    <w:p w14:paraId="0F70F06B" w14:textId="09B8121F" w:rsidR="00AB1B7F" w:rsidRPr="0057517D" w:rsidRDefault="00AB1B7F" w:rsidP="00AB1B7F">
      <w:pPr>
        <w:spacing w:after="12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6.4 Laddove dall’esecuzione delle attività di cui al presente articolo conseguisse la necessità di </w:t>
      </w:r>
      <w:proofErr w:type="gramStart"/>
      <w:r>
        <w:rPr>
          <w:rFonts w:ascii="Times New Roman" w:hAnsi="Times New Roman" w:cs="Times New Roman"/>
          <w:iCs/>
        </w:rPr>
        <w:t>porre in essere</w:t>
      </w:r>
      <w:proofErr w:type="gramEnd"/>
      <w:r>
        <w:rPr>
          <w:rFonts w:ascii="Times New Roman" w:hAnsi="Times New Roman" w:cs="Times New Roman"/>
          <w:iCs/>
        </w:rPr>
        <w:t xml:space="preserve"> misure autocorrettive per i responsabili di intervento la corretta adozione delle predette misure costituirà condizione legittimante la prosecuzione del progetto</w:t>
      </w:r>
      <w:r w:rsidR="00715DC1">
        <w:rPr>
          <w:rFonts w:ascii="Times New Roman" w:hAnsi="Times New Roman" w:cs="Times New Roman"/>
          <w:iCs/>
        </w:rPr>
        <w:t xml:space="preserve"> di utilizzo</w:t>
      </w:r>
      <w:r>
        <w:rPr>
          <w:rFonts w:ascii="Times New Roman" w:hAnsi="Times New Roman" w:cs="Times New Roman"/>
          <w:iCs/>
        </w:rPr>
        <w:t>.</w:t>
      </w:r>
    </w:p>
    <w:sectPr w:rsidR="00AB1B7F" w:rsidRPr="0057517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3BF8B" w14:textId="77777777" w:rsidR="002D2E28" w:rsidRDefault="002D2E28" w:rsidP="00947636">
      <w:pPr>
        <w:spacing w:after="0" w:line="240" w:lineRule="auto"/>
      </w:pPr>
      <w:r>
        <w:separator/>
      </w:r>
    </w:p>
  </w:endnote>
  <w:endnote w:type="continuationSeparator" w:id="0">
    <w:p w14:paraId="3CD9809B" w14:textId="77777777" w:rsidR="002D2E28" w:rsidRDefault="002D2E28" w:rsidP="00947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916602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98F1077" w14:textId="77777777" w:rsidR="00A003C3" w:rsidRDefault="00A003C3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402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402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777FAB" w14:textId="77777777" w:rsidR="00A003C3" w:rsidRDefault="00A003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478D3" w14:textId="77777777" w:rsidR="002D2E28" w:rsidRDefault="002D2E28" w:rsidP="00947636">
      <w:pPr>
        <w:spacing w:after="0" w:line="240" w:lineRule="auto"/>
      </w:pPr>
      <w:r>
        <w:separator/>
      </w:r>
    </w:p>
  </w:footnote>
  <w:footnote w:type="continuationSeparator" w:id="0">
    <w:p w14:paraId="221B4BA7" w14:textId="77777777" w:rsidR="002D2E28" w:rsidRDefault="002D2E28" w:rsidP="00947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2111" w14:textId="77777777" w:rsidR="00947636" w:rsidRPr="00947636" w:rsidRDefault="00947636" w:rsidP="00947636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</w:p>
  <w:p w14:paraId="5A94900C" w14:textId="77777777" w:rsidR="00947636" w:rsidRPr="00947636" w:rsidRDefault="00947636" w:rsidP="00947636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947636">
      <w:rPr>
        <w:rFonts w:ascii="Times New Roman" w:eastAsia="Times New Roman" w:hAnsi="Times New Roman" w:cs="Times New Roman"/>
        <w:b/>
        <w:noProof/>
        <w:color w:val="FFFFFF"/>
        <w:sz w:val="160"/>
        <w:szCs w:val="160"/>
        <w:lang w:eastAsia="it-IT"/>
      </w:rPr>
      <w:drawing>
        <wp:anchor distT="0" distB="0" distL="114300" distR="114300" simplePos="0" relativeHeight="251659264" behindDoc="0" locked="0" layoutInCell="1" allowOverlap="1" wp14:anchorId="12070851" wp14:editId="32D6D947">
          <wp:simplePos x="0" y="0"/>
          <wp:positionH relativeFrom="column">
            <wp:posOffset>2147199</wp:posOffset>
          </wp:positionH>
          <wp:positionV relativeFrom="paragraph">
            <wp:posOffset>-191770</wp:posOffset>
          </wp:positionV>
          <wp:extent cx="1371600" cy="774214"/>
          <wp:effectExtent l="0" t="0" r="0" b="6985"/>
          <wp:wrapNone/>
          <wp:docPr id="1" name="Immagine 1" descr="F:\loghi rep e f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hi rep e fo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09" b="11940"/>
                  <a:stretch/>
                </pic:blipFill>
                <pic:spPr bwMode="auto">
                  <a:xfrm>
                    <a:off x="0" y="0"/>
                    <a:ext cx="1371600" cy="7742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066F467" w14:textId="77777777" w:rsidR="00947636" w:rsidRPr="00947636" w:rsidRDefault="00947636" w:rsidP="00947636">
    <w:pPr>
      <w:tabs>
        <w:tab w:val="left" w:pos="1399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947636">
      <w:rPr>
        <w:rFonts w:ascii="Times New Roman" w:eastAsia="Times New Roman" w:hAnsi="Times New Roman" w:cs="Times New Roman"/>
        <w:sz w:val="24"/>
        <w:szCs w:val="24"/>
        <w:lang w:eastAsia="it-IT"/>
      </w:rPr>
      <w:tab/>
    </w:r>
  </w:p>
  <w:p w14:paraId="58BAD74D" w14:textId="77777777" w:rsidR="00947636" w:rsidRPr="00947636" w:rsidRDefault="00947636" w:rsidP="00947636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</w:p>
  <w:p w14:paraId="12E2948B" w14:textId="77777777" w:rsidR="00947636" w:rsidRPr="00947636" w:rsidRDefault="00947636" w:rsidP="00947636">
    <w:pPr>
      <w:tabs>
        <w:tab w:val="center" w:pos="4819"/>
        <w:tab w:val="right" w:pos="9638"/>
      </w:tabs>
      <w:spacing w:after="0" w:line="240" w:lineRule="auto"/>
      <w:jc w:val="center"/>
      <w:rPr>
        <w:rFonts w:ascii="Calibri" w:eastAsia="Times New Roman" w:hAnsi="Calibri" w:cs="Times New Roman"/>
        <w:sz w:val="28"/>
        <w:szCs w:val="28"/>
        <w:lang w:eastAsia="it-IT"/>
      </w:rPr>
    </w:pPr>
    <w:r w:rsidRPr="00947636">
      <w:rPr>
        <w:rFonts w:ascii="Calibri" w:eastAsia="Times New Roman" w:hAnsi="Calibri" w:cs="Times New Roman"/>
        <w:b/>
        <w:color w:val="808080"/>
        <w:sz w:val="28"/>
        <w:szCs w:val="28"/>
        <w:lang w:eastAsia="it-IT"/>
      </w:rPr>
      <w:t>U</w:t>
    </w:r>
    <w:r w:rsidRPr="00947636">
      <w:rPr>
        <w:rFonts w:ascii="Calibri" w:eastAsia="Times New Roman" w:hAnsi="Calibri" w:cs="Times New Roman"/>
        <w:color w:val="808080"/>
        <w:sz w:val="28"/>
        <w:szCs w:val="28"/>
        <w:lang w:eastAsia="it-IT"/>
      </w:rPr>
      <w:t xml:space="preserve">fficio </w:t>
    </w:r>
    <w:r w:rsidRPr="00947636">
      <w:rPr>
        <w:rFonts w:ascii="Calibri" w:eastAsia="Times New Roman" w:hAnsi="Calibri" w:cs="Times New Roman"/>
        <w:b/>
        <w:color w:val="808080"/>
        <w:sz w:val="28"/>
        <w:szCs w:val="28"/>
        <w:lang w:eastAsia="it-IT"/>
      </w:rPr>
      <w:t>S</w:t>
    </w:r>
    <w:r w:rsidRPr="00947636">
      <w:rPr>
        <w:rFonts w:ascii="Calibri" w:eastAsia="Times New Roman" w:hAnsi="Calibri" w:cs="Times New Roman"/>
        <w:color w:val="808080"/>
        <w:sz w:val="28"/>
        <w:szCs w:val="28"/>
        <w:lang w:eastAsia="it-IT"/>
      </w:rPr>
      <w:t xml:space="preserve">peciale per la </w:t>
    </w:r>
    <w:r w:rsidRPr="00947636">
      <w:rPr>
        <w:rFonts w:ascii="Calibri" w:eastAsia="Times New Roman" w:hAnsi="Calibri" w:cs="Times New Roman"/>
        <w:b/>
        <w:color w:val="808080"/>
        <w:sz w:val="28"/>
        <w:szCs w:val="28"/>
        <w:lang w:eastAsia="it-IT"/>
      </w:rPr>
      <w:t>R</w:t>
    </w:r>
    <w:r w:rsidRPr="00947636">
      <w:rPr>
        <w:rFonts w:ascii="Calibri" w:eastAsia="Times New Roman" w:hAnsi="Calibri" w:cs="Times New Roman"/>
        <w:color w:val="808080"/>
        <w:sz w:val="28"/>
        <w:szCs w:val="28"/>
        <w:lang w:eastAsia="it-IT"/>
      </w:rPr>
      <w:t xml:space="preserve">icostruzione dei </w:t>
    </w:r>
    <w:r w:rsidRPr="00947636">
      <w:rPr>
        <w:rFonts w:ascii="Calibri" w:eastAsia="Times New Roman" w:hAnsi="Calibri" w:cs="Times New Roman"/>
        <w:b/>
        <w:color w:val="808080"/>
        <w:sz w:val="28"/>
        <w:szCs w:val="28"/>
        <w:lang w:eastAsia="it-IT"/>
      </w:rPr>
      <w:t>C</w:t>
    </w:r>
    <w:r w:rsidRPr="00947636">
      <w:rPr>
        <w:rFonts w:ascii="Calibri" w:eastAsia="Times New Roman" w:hAnsi="Calibri" w:cs="Times New Roman"/>
        <w:color w:val="808080"/>
        <w:sz w:val="28"/>
        <w:szCs w:val="28"/>
        <w:lang w:eastAsia="it-IT"/>
      </w:rPr>
      <w:t xml:space="preserve">omuni del </w:t>
    </w:r>
    <w:r w:rsidRPr="00947636">
      <w:rPr>
        <w:rFonts w:ascii="Calibri" w:eastAsia="Times New Roman" w:hAnsi="Calibri" w:cs="Times New Roman"/>
        <w:b/>
        <w:color w:val="808080"/>
        <w:sz w:val="28"/>
        <w:szCs w:val="28"/>
        <w:lang w:eastAsia="it-IT"/>
      </w:rPr>
      <w:t>C</w:t>
    </w:r>
    <w:r w:rsidRPr="00947636">
      <w:rPr>
        <w:rFonts w:ascii="Calibri" w:eastAsia="Times New Roman" w:hAnsi="Calibri" w:cs="Times New Roman"/>
        <w:color w:val="808080"/>
        <w:sz w:val="28"/>
        <w:szCs w:val="28"/>
        <w:lang w:eastAsia="it-IT"/>
      </w:rPr>
      <w:t>ratere</w:t>
    </w:r>
  </w:p>
  <w:p w14:paraId="19695DBC" w14:textId="77777777" w:rsidR="00947636" w:rsidRDefault="0094763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7294C"/>
    <w:multiLevelType w:val="hybridMultilevel"/>
    <w:tmpl w:val="F7F402FC"/>
    <w:lvl w:ilvl="0" w:tplc="D5244F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646B5"/>
    <w:multiLevelType w:val="multilevel"/>
    <w:tmpl w:val="ADA6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52B0F42"/>
    <w:multiLevelType w:val="hybridMultilevel"/>
    <w:tmpl w:val="D5D25B50"/>
    <w:lvl w:ilvl="0" w:tplc="0A1E9A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563986">
    <w:abstractNumId w:val="1"/>
  </w:num>
  <w:num w:numId="2" w16cid:durableId="1412653024">
    <w:abstractNumId w:val="0"/>
  </w:num>
  <w:num w:numId="3" w16cid:durableId="1540436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636"/>
    <w:rsid w:val="00051C0C"/>
    <w:rsid w:val="000641CD"/>
    <w:rsid w:val="000E045F"/>
    <w:rsid w:val="000F1BF4"/>
    <w:rsid w:val="000F2C4F"/>
    <w:rsid w:val="00130396"/>
    <w:rsid w:val="00146C16"/>
    <w:rsid w:val="001563AE"/>
    <w:rsid w:val="00177EAF"/>
    <w:rsid w:val="001E5055"/>
    <w:rsid w:val="001F6004"/>
    <w:rsid w:val="0020171C"/>
    <w:rsid w:val="00207AE2"/>
    <w:rsid w:val="00225D16"/>
    <w:rsid w:val="002614BF"/>
    <w:rsid w:val="00265B66"/>
    <w:rsid w:val="002816DE"/>
    <w:rsid w:val="002A1A1A"/>
    <w:rsid w:val="002C02FE"/>
    <w:rsid w:val="002D2E28"/>
    <w:rsid w:val="002F3540"/>
    <w:rsid w:val="00346BBF"/>
    <w:rsid w:val="00357554"/>
    <w:rsid w:val="00370B50"/>
    <w:rsid w:val="00377484"/>
    <w:rsid w:val="003944A7"/>
    <w:rsid w:val="003F03DB"/>
    <w:rsid w:val="003F4020"/>
    <w:rsid w:val="004037F9"/>
    <w:rsid w:val="00436281"/>
    <w:rsid w:val="00452FD9"/>
    <w:rsid w:val="00460B3F"/>
    <w:rsid w:val="00462347"/>
    <w:rsid w:val="00472A8B"/>
    <w:rsid w:val="00484AC0"/>
    <w:rsid w:val="004A5CDA"/>
    <w:rsid w:val="004C5AE0"/>
    <w:rsid w:val="00536DCB"/>
    <w:rsid w:val="0055325F"/>
    <w:rsid w:val="00553A8F"/>
    <w:rsid w:val="00573B96"/>
    <w:rsid w:val="0057517D"/>
    <w:rsid w:val="005A73FF"/>
    <w:rsid w:val="005C17A3"/>
    <w:rsid w:val="005C17CD"/>
    <w:rsid w:val="005D039D"/>
    <w:rsid w:val="005D1C1F"/>
    <w:rsid w:val="005E645E"/>
    <w:rsid w:val="006256EE"/>
    <w:rsid w:val="00671A63"/>
    <w:rsid w:val="0069589C"/>
    <w:rsid w:val="006C5357"/>
    <w:rsid w:val="007079E5"/>
    <w:rsid w:val="00715DC1"/>
    <w:rsid w:val="0075348B"/>
    <w:rsid w:val="007660E7"/>
    <w:rsid w:val="00774F1F"/>
    <w:rsid w:val="007A3EEA"/>
    <w:rsid w:val="007B3E4C"/>
    <w:rsid w:val="007C080C"/>
    <w:rsid w:val="007C41BA"/>
    <w:rsid w:val="007F4784"/>
    <w:rsid w:val="008027E8"/>
    <w:rsid w:val="008068F4"/>
    <w:rsid w:val="0082066D"/>
    <w:rsid w:val="0083077E"/>
    <w:rsid w:val="0083201E"/>
    <w:rsid w:val="008821B9"/>
    <w:rsid w:val="008F26FF"/>
    <w:rsid w:val="0091500F"/>
    <w:rsid w:val="0092323F"/>
    <w:rsid w:val="00947636"/>
    <w:rsid w:val="009507D1"/>
    <w:rsid w:val="009547E7"/>
    <w:rsid w:val="00955D91"/>
    <w:rsid w:val="00A003C3"/>
    <w:rsid w:val="00A514E9"/>
    <w:rsid w:val="00A74A12"/>
    <w:rsid w:val="00A74D3C"/>
    <w:rsid w:val="00A82273"/>
    <w:rsid w:val="00A97043"/>
    <w:rsid w:val="00AB1B7F"/>
    <w:rsid w:val="00AB1C3F"/>
    <w:rsid w:val="00AE4100"/>
    <w:rsid w:val="00AF3CFA"/>
    <w:rsid w:val="00B046FC"/>
    <w:rsid w:val="00B375F0"/>
    <w:rsid w:val="00B4265F"/>
    <w:rsid w:val="00B56003"/>
    <w:rsid w:val="00B63966"/>
    <w:rsid w:val="00BD2A9C"/>
    <w:rsid w:val="00BE1672"/>
    <w:rsid w:val="00BF2981"/>
    <w:rsid w:val="00C35268"/>
    <w:rsid w:val="00C41423"/>
    <w:rsid w:val="00C63E4B"/>
    <w:rsid w:val="00C74613"/>
    <w:rsid w:val="00CB3945"/>
    <w:rsid w:val="00CC7FA3"/>
    <w:rsid w:val="00CE6BFE"/>
    <w:rsid w:val="00D06C68"/>
    <w:rsid w:val="00D16AC0"/>
    <w:rsid w:val="00D17D3E"/>
    <w:rsid w:val="00D72579"/>
    <w:rsid w:val="00D9084B"/>
    <w:rsid w:val="00D955A7"/>
    <w:rsid w:val="00DD4107"/>
    <w:rsid w:val="00DE1451"/>
    <w:rsid w:val="00DE39BB"/>
    <w:rsid w:val="00DE4F27"/>
    <w:rsid w:val="00E03FBD"/>
    <w:rsid w:val="00E12A7A"/>
    <w:rsid w:val="00E231F6"/>
    <w:rsid w:val="00E36352"/>
    <w:rsid w:val="00E45833"/>
    <w:rsid w:val="00E55531"/>
    <w:rsid w:val="00E73DE4"/>
    <w:rsid w:val="00EB3148"/>
    <w:rsid w:val="00EC4F4B"/>
    <w:rsid w:val="00F849C2"/>
    <w:rsid w:val="00FB45CF"/>
    <w:rsid w:val="00FE22DE"/>
    <w:rsid w:val="00F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B94C2"/>
  <w15:chartTrackingRefBased/>
  <w15:docId w15:val="{7F15290E-1403-44B0-A98E-936DBB9C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947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476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636"/>
  </w:style>
  <w:style w:type="paragraph" w:styleId="Pidipagina">
    <w:name w:val="footer"/>
    <w:basedOn w:val="Normale"/>
    <w:link w:val="PidipaginaCarattere"/>
    <w:uiPriority w:val="99"/>
    <w:unhideWhenUsed/>
    <w:rsid w:val="009476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6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500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037F9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9547E7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7AE44-5E99-4200-89A1-1DD87667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francesca.capranica</dc:creator>
  <cp:keywords/>
  <dc:description/>
  <cp:lastModifiedBy>Francesca Ercoli</cp:lastModifiedBy>
  <cp:revision>2</cp:revision>
  <cp:lastPrinted>2019-01-18T12:03:00Z</cp:lastPrinted>
  <dcterms:created xsi:type="dcterms:W3CDTF">2023-01-27T11:22:00Z</dcterms:created>
  <dcterms:modified xsi:type="dcterms:W3CDTF">2023-01-27T11:22:00Z</dcterms:modified>
</cp:coreProperties>
</file>